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И.В. обратился в суд с заявлением об оспаривании сделок должника по перечислению денежных средств Деревой С.М. в размере 16 715 816 рублей 63 копеек. Определением Арбитражного суда Карачаево-Черкесской Республики от 05.10.2020, оставленным без изменения постановлениями Шестнадцатого арбитражного апелляционного суда от 30.11.2020 и Арбитражного суда Северо-Кавказского округа от 12.02.2021, заявление удовлетворено, применены последствия недействительности сделок в виде взыскания с Деревой С.М. в конкурсную массу должника 16 715 816 рублей 63 копеек.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Карачаево- Черкесской Республики.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платежей в пользу заинтересованного лица в пределах периода подозрительности при наличии признаков несостоятельности должника, пришли к выводу об обоснованности заявления, указав на недоказанность экономической целесообразности платежей и следствие сделок – причинение вреда кредиторам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Деревой Сабине Муратовне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