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16.07.2020, оставленным без изменения постановлением Девятого арбитражного апелляционного суда от 30.09.2020 и постановлением Арбитражного суда Московского округа от 27.01.2020, в удовлетворении заявления отказано. 2 В кассационной жалобе, поданной в Верховный Суд Российской Федерации, партнерство,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учреждением (заказчик) и партнерством 07.10.2019 заключен государственный контракт на оказание услуг по тестированию работников по программе «Профессиональная углубленная комплексная диагностика водительского состава». В нарушение условий контракта партнерство не назначило ответственное контактное лицо и не предоставило электронную почту для приема данных, лишив возможности заказчика обращаться с заявками на оказание услуг по контракту. Кроме того, партнерство не исполнило требование пункта 3.2 технического задания по информированию не позднее 3 календарных дней до начала занятий о сроках, учебном плане, организационных аспектах проведения обучения, о месте и времени проведения образовательных услуг. Данные обстоятельства послужили основанием для принятия заказчиком 20.12.2019 решения об одностороннем расторжении контракта и обращения в антимонопольный орган. Решением управления от 12.03.2020 сведения, представленные в отношении общества, включены в реестр недобросовестных поставщиков. Не согласившись с решением управления, заявитель обратился в арбитражный суд. Исследовав и оценив представленные в материалы дела доказательства, суд первой инстанции,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 том, что решение управления соответствует положениям действующего законодательства и не нарушает права и законные интересы заявителя. Суды апелляционной инстанции и округа поддержали выводы суда. 3 Судебные инстанции исходили из доказанности уклонения партнерства от исполнения контракта, доказательств обратного в материалы дела не представлено. Суды также отметили, что партнерство было надлежащим образом осведомлено о принятии заказчиком решения об одностороннем расторжении контракта по причине невыполнения обязательств по контракту и у него имелась возможность со дня получения такого решения и до вступления его в законную силу устранить допущенные нарушения. Вместе с тем, установлено, что партнерством после получения соответствующего решения не были совершены действия, направленные на надлежащее исполнение обязательств по контракту, что, по мнению судов, свидетельствует об очевидном нежелании партнерства исполнять принятые на себя обязательства. Суды также приняли во внимание решение Арбитражного суда города Москвы от 15.06.2020 по делу № А40-5205/2020, которым отказано в удовлетворении заявления партнерства о признании незаконным решения учреждения об одностороннем расторжении контракта.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некоммерческому партнерству содействия осуществлению дополнительного профессионального образования Центр повышения квалификации «Русская Школа Управления»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