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15 апреля 2021 согласно почтовому штемпелю на конверте фонд направил в Верховный Суд Российской Федерации жалобу на постановление Восемнадцатого арбитражного апелляционного суда от 17.12.2020 по делу № А76-20819/2019 Арбитражного суда Челябинской области.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Восемнадцатого арбитражного апелляционного суда от 17.12.2020, на момент обращения заявителя срок, установленный статьёй 291.2 Арбитражного процессуального кодекса Российской Федерации, истёк. Фондом заявлено ходатайство о восстановлении пропущенного процессуального срока. В качестве причины пропуска срока заявитель ссылается на то, что кассационная жалоба подана с нарушением установленного срока в связи с обращением в публично-правовую компанию «Фонд защиты прав граждан – 2 участников долевого строительства» за разъяснениями о дальнейшем обжаловании судебных актов, которые были получены 29.03.2021. Применительно к пункту 15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указанная заявителем причина пропуска срока на обжалование не может рассматриваться в качестве уважительной. Постановление суда апелляционной инстанции, на которое распространяется правило пункта 35.2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подлежит обжалованию в Судебную коллегию Верховного Суда Российской Федерации, в сроки установленные статьей 291.2 Арбитражного процессуального кодекса Российской Федерации. Как следует из информации, размещённой на официальном сайте арбитражных судов (www.arbitr.ru), постановление Восемнадцатого арбитражного апелляционного суда от 17.12.2020 было опубликовано в общедоступной базе судебных актов 18.12.2020, то есть без какой-либо задержки, в установленный срок. При этом из обжалуемого судебного акта усматривается, что инициатором обжалования в апелляционном суде являлся сам фонд, представитель которого принимал участие в судебном заседании. Таким образом, учитывая, что каких-либо доказательств обратного заявителем не предоставлено, фонд доподлинно знал о состоявшихся судебных актах по настоящему спору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фонд,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Ввиду отказа в удовлетворении ходатайства о восстановлении пропущенного процессуального срока и возвращении кассационной жалобы 3 заявителя без рассмотрения, ходатайство о принятии обеспечительных мер рассмотрению не полежит.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фонда «Защита прав участников долевого строительства в Челябинской области» о восстановлении пропущенного процессуального срока отказать. Кассационную жалобу фонда «Защита прав участников долевого строительства в Челябинской области» на постановление Восемнадцатого арбитражного апелляционного суда от 17.12.2020 по делу № А76-20819/2019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