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«ФЕСКО Интегрированный Транспорт» (ООО «ФИТ», экспедитор)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«ЛМЛ и Ко» (ООО «ЛМЛ и Ко», клиента) 1 910 427 рублей 40 копеек задолженности по договору транспортной экспедиции от 30.12.2015 № ОМЕ-15/817. Решением Арбитражного суда города Москвы от 10.06.2019 иск удовлетворен. Установив процессуальные нарушения, допущенные судом первой инстанции,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Арбитражного процессуального кодекса Российской Федерации и принял к производству встречный иск ООО «ЛМЛ и Ко» к ООО «ФИТ» о взыскании 101 188 рублей неосновательного обогащения. 2 Постановлением Девятого арбитражного апелляционного суда от 17.10.2019 решение суда первой инстанции отменено. С ООО «ЛМЛ и Ко» в пользу ООО «ФИТ» взыскано 1 614 225 рублей 54 копейки задолженности, а также 15 458 рублей в возмещение расходов по уплате госпошлины; в удовлетворении первоначального иска в остальной части отказано. С ООО «ФИТ» в пользу ООО «ЛМЛ и Ко» взыскано 101 188 рублей задолженности. В результате зачета с ООО «ЛМЛ и Ко» в пользу ООО «ФИТ» взыскано 1 513 037 рублей 54 копейки, а также 15 458 рублей расходов по уплате госпошлины. Постановлением Арбитражного суда Московского округа от 08.07.2020 постановление суда апелляционной инстанции отменено и дело направлено на новое рассмотрение в Девятый арбитражный апелляционный суд. При новом рассмотрении дела постановлением Девятого арбитражного апелляционного суда от 07.09.2020 решение суда первой инстанции отменено, в удовлетворении первоначального иска отказано, встречный иск удовлетворен. Арбитражный суд Московского округа постановлением от 20.01.2021 постановление суда апелляционной инстанции оставил без изменения. Общество с ограниченной ответственностью «ФЕСКО Интегрированный транспорт»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суд апелляционной инстанции пришел к выводам об отсутствии бесспорных доказательств несения дополнительных расходов и оказания дополнительных услуг, что явилось основанием для отказа в 3 удовлетворении первоначального иска, а также о наличии на стороне экспедитора неосновательного обогащения в виде неосновательно сбереженных денежных средств клиента, что явилось основанием для удовлетворения встречного иска.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«ФЕСКО Интегрированный транспорт»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