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после отмены ранее состоявшихся судебных актов решением Арбитражного суда города Москвы от 20.03.2020, оставленным без изменения постановлением Девятого арбитражного апелляционного суда от 08.09.2020 и постановлением Арбитражного суда Московского округа от 25.12.2020, иск удовлетворен частично. В кассационной жалобе общество просит отменить судебные акты, ссылаясь на неприменимость договорного условия о цене на услуги как ничтожного и исчисление срока исковой давности в противоречие с договором.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Руководствуясь статьями 196, 199, 200, 779, 781 Гражданского кодекса Российской Федерации и обстоятельствами исполнения договора от 17.06.2013 № 2, суды правомерно признали подлежащими оплате оказанные услуги по согласованной цене и в пределах срока исковой давности.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«Компания «Бизнес-Консалтинг»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