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10.06.2020, оставленным без изменения постановлением Девятого арбитражного апелляционного суда от 23.09.2020 и постановлением Арбитражного суда Московского округа от 25.12.2020, исковые требования удовлетворены. В кассационной жалобе общество «УРАЛПРОМТД» просит об отмене судебных актов, ссылаясь на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Действия судов, которые заявитель считает процессуальными нарушениями, таковыми не являются и не создают оснований для кассационного пересмотра судебных актов. Доводов в отношении материально-правовой стороны дела кассационная жалоба не содержит.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«УРАЛПРОМТД»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