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16.06.2020, оставленным без изменения постановлением Одиннадцатого арбитражного апелляционного суда от 31.08.2020, по первоначальному иску взыскано 959 886 рублей задолженности, встречный иск удовлетворен в полном объеме. В результате зачета взысканных сумм с предпринимателя в пользу общества взыскано 155 341 рубль 48 копеек. Арбитражный суд Поволжского округа постановлением от 14.12.2020 решение от 16.06.2020 и постановление Одиннадцатого арбитражного апелляционного суда от 31.08.2020 оставил без изменения. В кассационной жалобе предприниматель просит о пересмотре судебных актов вследствие нерассмотрения судом первой инстанции заявления об уменьшении неустойки. 2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что заявление об уменьшении неустойки сделано в суде первой инстанции представителем предпринимателя в устной форме и не мотивировано и, рассмотрев это заявление в пределах статьи 268 Арбитражного процессуального кодекса Российской Федерации, не установил критериев для применения статьи 333 Гражданского кодекса Российской Федерации. Учитывая рассмотрение заявления компетентным судом, оснований для кассационного пересмотра судебных актов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Добину С.А.в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