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04.08.2020, оставленным без изменения постановлением Девятого арбитражного апелляционного суда от 09.10.2020, исковые требования удовлетворены. Арбитражный суд Московского округа постановлением от 31.12.2020 решение от 04.08.2020 и постановление Девятого арбитражного апелляционного суда от 09.10.2020 оставил без изменения. В кассационной жалобе банк просит об отмене судебных актов, ссылаясь на наличие законных условий для приостановления платежа и неосновательный отказ в уменьшении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Наличие права банка на приостановление платежа по гарантиям не оспаривалось в рамках данного дела. Судами признан незаконным отказ в платеже, учитывая соответствие требования о платеже условиям гарантий. Обстоятельства, влияющие на размер неустойки, оценены судами в соответствии с компетенцией и связанный с ними довод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«Абсолют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