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12.05.2020, оставленным без изменения постановлением Девятого арбитражного апелляционного суда от 07.10.2020, по первоначальному иску взыскано 25 739 997 рублей 93 копейки неустойки, в удовлетворении встречного иска отказано. Арбитражный суд Московского округа постановлением от 25.12.2020 решение от 12.05.2020 и постановление Девятого арбитражного апелляционного суда от 07.10.2020 оставил без изменения. В кассационной жалобе банк просит об отмене судебных актов, ссылаясь на правомерное оспаривание направленного на неосновательное обогащение требования бенефициара о платеже по гарантии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банк исполнил требование по гарантии, соответствующее ее условиям, поэтому не вправе требовать обратного взыскания уплаченной суммы в качестве убытков с бенефициара в связи с его недобросовестностью в правоотношениях, от которых не зависит обязательство по гарантии (статья 370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«ЦентроКредит»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