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05.07.2020, оставленным без изменения постановлением Четырнадцатого арбитражного апелляционного суда от 24.09.2020, в удовлетворении иска отказано. Арбитражный суд Северо-Западного округа постановлением от 24.12.2020 решение от 05.07.2020 и постановление Четырнадцатого арбитражного апелляционного суда от 24.09.2020 оставил без изменения. В кассационной жалобе общество «Прогресс М» просит об отмене судебных актов, ссылаясь на возникновение убытков в связи с несохранностью хранимого ответчиком имущества.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в силу статей 15, 393 Гражданского кодекса Российской Федерации условия для применения ответственности в связи с ненадлежащим исполнением договора от 14.02.2018 № 734, установлены судами в соответствии с компетенцией и требуемая их переоценка не создает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«Прогресс 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