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18.06.2020, оставленным без изменения постановлением Девятого арбитражного апелляционного суда от 23.09.2020, иск удовлетворен в заявленном объеме. Арбитражный суд Московского округа постановлением от 29.12.2020 решение от 18.06.2020 и постановление Девятого арбитражного апелляционного суда от 23.09.2020 оставил без изменения. В кассационной жалобе общество «РусМедСтат» просит об отмене судебных актов, ссылаясь на неосновательные предоставление истцу судебной защиты и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полученных по договору инвестиционного займа от 05.07.2016 № 5/050716 денежных средств соответствует условиям договора и обстоятельствам его исполнения. Предъявление обоснованных требований не влечет применения последствий, предусмотренных статьей 10 Гражданского кодекса Российской Федерации. Установление обстоятельств для применения ответственности и влияющих на ее размер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«РусМедСтат»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"ИНВЕСТИЦИОННЫЙ ХОЛДИНГ "АВЕНИР" (подробнее) ООО "ИХ "Авенир" (подробнее) Ответчики: ООО "РУСМЕДСТАТ" (подробнее) Судьи дела: Ксенофонтова Н.А.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