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Дагестан от 07.07.2020, оставленным без изменения постановлением Шестнадцатого арбитражного апелляционного суда от 13.10.2020, взыскано 28 456 рублей 69 копеек страхового возмещения, 10 000 рублей неустойки, 617 рублей 93 копейки расходов на экспертизу. Арбитражный суд Северо-Кавказского округа постановлением от 19.01.2021 решение от 07.07.2020 и постановление Шестнадцатого арбитражного апелляционного суда от 13.10.2020 оставил без изменения. В кассационной жалобе предприниматель просит об отмене судебных актов вследствие отсутствия оценки акта повторного осмотра поврежденного транспортного средства.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Судебные акты основаны на представленных и собранных в процессе рассмотрения дела в целях разрешения разногласий сторон об имеющихся повреждениях транспортного средства доказательствах, требуемая переоценка которых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Муртузалиеву З.И.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