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23.06.2020, оставленным без изменения постановлением Пятого арбитражного апелляционного суда от 15.09.2020 и постановлением Арбитражного суда Дальневосточного округа от 28.12.2020, иск удовлетворен. В кассационной жалобе предприниматель просит о пересмотре судебных актов, ссылаясь на перечисление спорной суммы ему как физическому лицу на приобретение автомобилей.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об основании перечисления денежных средств не принят судами, поскольку не установлено передачи транспортных средств. Руководствуясь статьями 395, 1102 Гражданского кодекса Российской Федерации и судебной практикой рассмотрения подобных споров, суды удовлетворили иск, установив получение и удержание ответчиком не предназначавшихся в силу закона либо договора денежных средств.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Дьячеку Евгению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