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пересмотре по вновь открывшимся обстоятельствам определение Арбитражного суда Ставропольского края от 17.12.2018 по спору о признании недействительной сделкой перечисления должником в её пользу денежных средств на общую сумму 2 550 791 рубль. Определением Арбитражного суда Ставропольского края от 02.10.2020, оставленным без изменения постановлениями Шестнадцатого арбитражного апелляционного суда от 24.11.2020 и Арбитражного суда Северо-Кавказского округа от 14.01.2021, заявление возвращено.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Ставропольского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 о пересмотре судебного акта по вновь открывшимся обстоятельствам, суд первой инстанции руководствовался положениями статей 310, 311, 313, 315 Арбитражного процессуального кодекса Российской Федерации и исходил из того, что оно не соответствовало требованиям, предъявляемым законом к его форме и содержанию, а приводимые в нём обстоятельства не отвечали соответствующим признакам вновь открывшихся. Проверяя обоснованность возврата заявления, суды апелляционной инстанции и округа не установили нарушений норм процессуального права и согласились с данными выводами.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Паритет»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