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третью очередь реестра требований кредиторов должника (далее – реестр) его требования в размере 4 851 100 рублей 50 копеек. Определением Арбитражного суда города Москвы от 06.07.2020, оставленным без изменения постановлениями Девятого арбитражного апелляционного суда от 16.11.2020 и Арбитражного суда Московского округа от 02.02.2021, требования признаны обоснованными и подлежащими удовлетворению за счёт имущества, оставшегося после удовлетворения требований реестровых кредиторов. В кассационной жалобе, поданной в Верховный Суд Российской Федерации, заявитель просит отменить названые судебные акты в части понижения очерёдности удовлетворения его требования и принять в данной части новый судебный акт о включении требования в третью очередь реестра.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19, 71, 100 Федерального закона от 26.10.2002 № 127-ФЗ «О несостоятельности (банкротстве)», разъяснениями, содержащимися в Обзоре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лиц», утверждённом Президиумом Верховного Суда Российской Федерации от 29.01.2020, установили, что заявленное требование вытекает из отношений должника и общества, входящих в одну хозяйственную группу, на отличных от обычной хозяйственной деятельности условиях, носит корпоративный характер, следовательно, подлежит субординированию по отношению к требованиям иных независимых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«Мукомоловъ»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