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«Стройтрейд» (далее – общество) обратилось в суд с заявлением о включении в реестр требований кредиторов должника (далее – реестр) его требования в размере 125 862 072 рублей 97 копеек. Определением Арбитражного суда Московской области от 22.07.2020, оставленным без изменения постановлениями Десятого арбитражного апелляционного суда от 23.11.2020 и Арбитражного суда Московского округа от 25.05.2021, производство по заявлению прекращено.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5, 71, 142 Федерального закона от 26.10.2002 № 127-ФЗ «О несостоятельности (банкротстве)», исходили из того, что заявленные обществом требования по существу не рассматривались, а права и законные интересы заявителя как конкурного кредитора должника, а также самого должника не нарушены.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названных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«ЮниКредит 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