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28.07.2020, оставленным без изменения постановлениями Девятого арбитражного апелляционного суда от 20.10.2020 и Арбитражного суда Московского округа от 10.02.2021, в удовлетворении заявленного требования отказано. 2 В кассационной жалобе общество ставят вопрос об отмене принятых по делу судебных актов, ссылаясь на нарушение норм материального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обратилось в антимонопольный орган с жалобой на действия заказчика при проведении электронного аукциона на право заключения государственного контракта на оказание услуг телефонной связи с предоставлением интеллектуального номера в коде доступа к услуге электросвязи для нужд заказчика. В обоснование жалобы обществом указано на то, что закупочная документация спорного аукциона содержит положения, ограничивающие количество участников, учреждением избран неверный способ проведения закупочной процедуры. По результатам рассмотрения жалобы общества антимонопольным органом принято решение о признании жалобы необоснованной. Не согласившись с решением управления, общество обратилось в арбитражный суд. Исследовав и оценив представленные в материалы дела доказательства,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Федерального закона от 07.07.2003 № 126-ФЗ «О связи», Правилами распределения и использования ресурсов нумерации единой сети электросвязи Российской Федерации, утвержденными постановлением Правительства Российской Федерации от 13.07.2004 № 350, Правилами оказания услуг телефонной связи, утвержденными Постановлением Правительства Российской Федерации от 09.12.2015 № 1342, суды пришли к выводу о том, что оспариваемый ненормативный правовой акт антимонопольного органа соответствует действующему законодательству и не нарушает права и интересы заявителя. Судебные инстанции исходили из того, что исполнение требования технического задания документации электронного аукциона о сохранении действующей телефонной нумерации не является юридически либо 3 технологически невозможным и ограничивающим право участников на участие в электронном аукционе на оказание услуг связи, а также из правомерности выбора заказчиком способа определения исполнителя путем проведения электронного аукциона. Выводы судов с учетом установленных обстоятельств спора основаны на правильном применении положений законодательства и согласуются с правовой позицией Судебной коллегии по экономическим спорам Верховного Суда Российской Федерации, изложенной в определении от 22.11.2018 № 304-КГ18-13295 по делу № А27-21030/2017.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С учетом изложенного, приведенные в жалобе доводы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«Вымпел-Коммуникации»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