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банк обратился в суд с жалобой на действия (бездействие) конкурсного управляющего должником Шестакова Романа Анатольевича, заявлением об отстранении указанного лица от исполнения возложенных на него обязанностей. Определением Арбитражного суда города Москвы от 07.08.2020, оставленным без изменения постановлениями Девятого арбитражного апелляционного суда от 13.11.2020 и Арбитражного суда Московского округа от 01.02.2021, в удовлетворении заявленных требований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заявленных им требований в полном объёме.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20.3, 20.7, 60, 129 Федерального закона от 26.10.2002 № 127-ФЗ «О несостоятельности (банкротстве)», исходили из недоказанности нарушения конкурсным управляющим прав и законных интересов должника, банка и иных кредиторов оспариваемыми действиями (бездействием), соответствующими требованиям законодательства о банкротстве, причинения убытков указанным лицам и отсутствия оснований для отстранения конкурсного управляющего должником.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«Промсвязьбанк»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