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24.03.2020 утверждено Положение о порядке, об условиях и сроках продажи имущества должника в редакции финансового управляющего его имуществом Гордиенко Петра Александровича. Не согласившись с данным определением, заявитель обратилась в Девятый арбитражный апелляционный суд с апелляционной жалобой. Определением Девятого арбитражного апелляционного суда от 19.01.2021, оставленным без изменения постановлением Арбитражного суда Московского округа от 05.03.2021, апелляционная жалоба возвращена заявителю на основании пункта 1 части 1 статьи 264 Арбитражного процессуального суда Российской Федерации. В кассационной жалобе, поданной в Верховный Суд Российской Федерации, заявитель просит отменить названные судебные акты, обязать Девятый арбитражный апелляционный суд принять её апелляционную жалобу к рассмотрению.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статьями 184, 185, 264 Арбитражного процессуального кодекса Российской Федерации, статьями 34, 35 Федерального закона от 26.10.2002 № 127-ФЗ «О несостоятельности (банкротстве)», исходил из того, что обжалуемый заявителем судебный акт не содержит в себе выводов о её правах и не возлагает на неё дополнительных обязанностей, а законность судебного акта уже проверялась судом апелляционной инстанции. Кроме того, суд исходил из конкретных обстоятельств спора, а именно учитывал факт принятия обеспечительных мер в связи с отчуждением должником части своего имущества в пользу заявителя (его внучки), что правомерно расценено судом как недобросовестное поведение заявителя. Проверяя обоснованность возврата жалобы заявителя, судебная коллегия окружного не установила нарушений норм процессуального права и обоснованно согласилась с данными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Давыдовой Злате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