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города Москвы с иском о взыскании с общества с ограниченной ответственностью «Траектория Логистики» 536 970 рублей штрафа за искажение в железнодорожной транспортной накладной сведений о массе груза. Решением Арбитражного суда города Москвы от 22.05.2020 иск удовлетворен в части взыскания 450 000 рублей штрафа; в удовлетворении иска в остальной части отказано. Постановлением Девятого арбитражного апелляционного суда от 09.10.2020 решение суда первой инстанции оставлено без изменения. Арбитражный суд Московского округа постановлением от 26.01.2021 указанные судебные акты оставил без изменения. Общество с ограниченной ответственностью «Траектория Логистики»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25, 26, 27, 98, 119 Федерального закона от 10.01.2003 № 18-ФЗ «Устав железнодорожного транспорта Российской Федерации», Правилами заполнения перевозочных документов на перевозку грузов железнодорожным транспортом, утвержденными Приказом МПС РФ от 18.06.2003 № 39, суды пришли к выводу о доказанности факта искажения грузоотправителем в железнодорожной накладной сведений о массе перевозимого груза, уменьшив размер подлежащего взысканию штрафа на основании статьи 333 Гражданского кодекса Российской Федерации ввиду его явной несоразмерности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«Траектория Логистики»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