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«ЛАДА Ижевский Автомобильный завод» обратилось в Арбитражный суд Нижегородской области с иском о взыскании с общества с ограниченной ответственностью «Завод Автокомпонент» 5 540 640 рублей убытков. Решением Арбитражного суда Нижегородской области от 23.06.2020 иск удовлетворен. Постановлением Первого арбитражного апелляционного суда от 27.08.2020 решение суда первой инстанции оставлено без изменения. Арбитражный суд Волго-Вятского округа постановлением от 21.01.2021 указанные судебные акты оставил без изменения. Общество с ограниченной ответственностью «Завод Автокомпонент»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установив факт недопоставки ответчиком (поставщиком) товара (автокомпонентов), приведший к простою конвейеров истца (покупателя), руководствуясь положениями статей 15, 309, 310, 393, 506, 516 Гражданского кодекса Российской Федерации, суды сделали вывод о доказанности истцом наличия совокупности обстоятельств, необходимых для привлечения ответчика к гражданско-правовой ответственности в виде возмещения убытков, определив их размер исходя из согласованного сторонами норматива стоимости простоя конвейера. Доводы, изложенные в жалобе, приводились при рассмотрении дела,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Автокомпонент»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