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«Спецтехнология» обратилось в Арбитражный суд города Санкт-Петербурга и Ленинградской области с иском о взыскании с общества с ограниченной ответственностью «Карьерные машины» 533 136 рублей 06 копеек убытков.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«Альфамобиль». Решением Арбитражного суда города Санкт-Петербурга и Ленинградской области от 22.02.2020 иск удовлетворен. Постановлением Тринадцатого арбитражного апелляционного суда от 31.08.2020 решение суда первой инстанции оставлено без изменения. Арбитражный суд Северо-Западного округа постановлением от 18.02.2021 указанные судебные акты оставил без изменения. 2 Общество с ограниченной ответственностью «Карьерные машины»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39, 665, 670 Гражданского кодекса Российской Федерации, суды пришли к выводу о наличии причинно-следственной связи между действиями ответчика и возникшими у истца убытками в виде удержанной третьим лицом на основании соглашения о расторжении договора лизинга суммы убытков, которые истец понес в связи с заключением договора лизинга, в том числе в связи с привлечением лизингодателем кредитных денежных средств для финансирования сделки в виде процентов за пользование кредитными (заемными) денежными средствами. Доводы, изложенные в кассационной жалобе, были рассмотрены судами и получили надлежащую оценку, эти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«Карьерные машины»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