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«ВторТехМаш» удовлетворить. Срок подачи кассационной жалобы на решение Арбитражного суда Московской области от 23.07.2020 по делу № А41-103319/2019, постановление Десятого арбитражного апелляционного суда от 19.10.2020 и постановление Арбитражного суда Московского округа от 09.02.2021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