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Дьячука Михаила Михайловича и Матвеевой Ксении Сергеевны, взыскании с них в солидарном порядке 4 195 353 рублей 40 копеек. Определением Арбитражного суда Иркутской области от 04.07.2019, оставленным без изменения постановлениями Четвёртого арбитражного апелляционного суда от 24.08.2020 и Арбитражного суда Восточно-Сибирского округа от 27.10.2020,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Иркутской области. Письмом Верховного суда Российской Федерации от 26.02.2021 материалы дела № А19-10893/2016, касающиеся данного спора, были истребованы в Арбитражном суде Иркутской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(в редакции Федерального закона от 28.06.2013 № 134-ФЗ), исходили из недоказанности наличия необходимой совокупности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«Байкал-Атлетик» Куренсковой Анастасии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