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Шабанова (Статкевич) Евгения Викторовна обратилась в суд с заявлением о признании недействительным договора купли-продажи автомобиля Cadillac GMT926 (Escalade), 2011 г.в., VIN XWFS47EF1C0000034, от 15.12.2017, заключенного между должником и Листик Ю.А.; применении последствий недействительности сделки в виде взыскания с Листик Ю.А. в пользу должника рыночной стоимости указанного автомобиля в размере 1 382 840 рублей. Определением Арбитражного суда Челябинской области от 14.07.2020 заявление удовлетворено в части признания вышеуказанного договора недействительной сделкой, взыскания с Листик Ю.А. в пользу должника 412 840 рублей. Постановлением Восемнадцатого арбитражного апелляционного суда от 14.10.2020, оставленным без изменения постановлением Арбитражного суда Уральского округа от 04.02.2021, вышеуказанное определение изменено в части применения последствий недействительности сделки. С Листик Ю.А. в пользу должника взыскано 1 382 840 рублей. В остальной части определение суда первой инстанции от 14.07.2020 оставлено без изменения. 2 В кассационной жалобе, поданной в Верховный Суд Российской Федерации, заявитель просит отменить названные судебные акты, принять по делу новый судебный акт об отказе в удовлетворении заявленных конкурсным управляющим требований, а при невозможности принятия нового судебного акта –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статьями 10, 168 Гражданского кодекса Российской Федерации, пунктом 1 статьи 61.2 Федерального закона от 26.10.2002 № 127-ФЗ «О несостоятельности (банкротстве)» (далее – Закон о банкротстве), исходил из доказанности совокупности условий для признания оспариваемого договора недействительной сделкой, совершённой в период подозрительности неплатёжеспособным должником при неравноценном встречном предоставлении со стороны заявителя как заинтересованного лица, взыскав с неё в порядке применения последействия недействительности сделки разницу между рыночной стоимостью автомобиля и объявленной в договоре ценой приобретения. Изменяя определение в части применения последствий недействительности сделки, апелляционный суд, руководствуясь пунктом 3 статьи 61.6 Закона о банкротстве, правомерно исходил из того, что произведённый судом зачёт подлежащей взысканию с заявителя действительной стоимости части имущества и уплаченной ею суммы нарушает положения абзаца третьего пункта 8 статьи 142 Закона о банкротстве. Суд округа поддержал выводы апелляционного суда.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3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Листик Юлии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