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заявив ходатайство о восстановлении пропущенного срока её подачи. Рассмотрев ходатайство о восстановлении процессуального срока, суд находит его обоснованным и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постановление Шестнадцатого арбитражного апелляционного суда от 19.01.2021 по делу № А77-383/2020 Арбитражного суда Чеченской Республики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