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 договора займа от 21.06.2017, заключенного между должником и Лежениным Дмитрием Геннадьевичем (далее – займодавец); применении последствий недействительности сделки. Определением Арбитражного суда города Москвы от 17.09.2020, оставленным без изменения постановлениями Девятого арбитражного апелляционного суда от 17.12.2020 и Арбитражного суда Московского округа от 18.02.2021,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807, 812 Гражданского кодекса Российской Федерации не установили совокупности условий для признания недействительной оспариваемой сделки ввиду установленных обстоятельств наличия у займодавца финансовой возможности для предоставления должнику денежных средств, их последующее расходование на осуществление предпринимательской деятельности, недоказанности её мнимости.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Сабанцеву Дмитрию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