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Рудник «Дуэт» обратилось в Арбитражный суд города Москвы с иском к обществу с ограниченной ответственностью «К2 Спецтехника» (после смены наименования - общество с ограниченной ответственностью «Специальные машины») о расторжении договора поставки от 20.03.2017 № 287-К2-17, взыскании 3 987 000 рублей стоимости товара и 82 798 рублей 52 копеек процентов за пользование чужими денежными средствами за период с 10.10.2018 по 17.01.2019.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«РенБизнесАвто». Определением Арбитражного суда города Москвы от 11.10.2019 дело передано по подсудности в Арбитражный суд Республики Саха (Якутия). Решением Арбитражного суда Республики Саха (Якутия) от 27.01.2020 иск удовлетворен. Постановлением Четвертого арбитражного апелляционного суда от 10.08.2020 решение суда первой инстанции оставлено без изменения. Арбитражный суд Восточно-Сибирского округа постановлением от 24.12.2020 указанные судебные акты оставил без изменения. Общество с ограниченной ответственностью «Специальные машины»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Обществом с ограниченной ответственностью Рудник «Дуэт» представлен отзыв на кассационную жалобу, в котором истец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установив несоответствие приобретенного истцом автомобиля обязательным требованиям безопасности, непригодность его использования по своему прямому назначению, аннулирование органами ГИБДД регистрационного учета автомобиля, руководствуясь положениями статей 309 , 310 , 395 , 431 , 432 , 450 , 453 , 454 , 456 , 469 , 475 , 476 Гражданского кодекса Российской Федерации, Федерального закона от 10.12.1995 № 196-ФЗ «О безопасности дорожного движения», суды пришли к выводу о доказанности факта передачи истцу товара ненадлежащего качества и обоснованности требований покупателя. Доводы, изложенные в кассационной жалобе, с учетом установленных судами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«Специальные машины»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Рудник "Дуэт" (подробнее) Ответчики: ООО "К2 Спецтехника" (подробнее) Иные лица: ООО "РенБизнесАвто" (подробнее) ООО "СПЕЦИАЛЬНЫЕ МАШИНЫ" (подробнее) Судебная практика по: Признание договора незаключенным Судебная практика по применению нормы ст. 432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