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«Молочные ингредиенты» обратилось в Арбитражный суд города Москвы с иском о взыскании с общества с ограниченной ответственностью «Бондарский сыродельный завод» 3 463 204 рублей 11 копеек убытков в связи с поставкой некачественного товара. Решением Арбитражного суда города Москвы от 03.07.2020 иск удовлетворен. Постановлением Девятого арбитражного апелляционного суда от 05.10.2020 решение суда первой инстанции оставлено без изменения. Арбитражный суд Московского округа постановлением от 25.12.2020 указанные судебные акты оставил без изменения. Общество с ограниченной ответственностью «Бондарский сыродельный завод»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фактические обстоятельства, установленные по делу № А40-188305/2017, признав доказанным факт причинения истцу убытков в связи с поставкой некачественного товара, производителем которого является ответчик, руководствуясь статьями 15, 393 Гражданского кодекса Российской Федерации, суды пришли к выводу о наличии оснований для удовлетворения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«Бондарский сыродельный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