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Шебуняев Вячеслав Владимирович обратился в Арбитражный суд города Санкт-Петербурга и Ленинградской области с иском к обществу с ограниченной ответственностью «Шексна- Мастер» о расторжении договора от 30.05.2014 № 45/2014 и взыскании 265 000 рублей денежных средств, 100 802 рублей 96 копеек процентов за пользование чужими денежными средствами, а также расходов по оплате юридических услуг в размере 3 000 рублей и расходов по уплате государственной пошлины. Решением Арбитражного суда города Санкт-Петербурга и Ленинградской области от 18.06.2020 в удовлетворении иска отказано в связи с пропуском срока исковой давности. Постановлением Тринадцатого арбитражного апелляционного суда от 09.10.2020 решение суда первой инстанции отметено и иск удовлетворен в части взыскания 265 000 рублей неосновательного обогащения, 100 802 рублей 96 копеек процентов за пользование чужими денежными средствами, 2 3 000 рублей расходов по оплате юридических услуг и 19 316 рублей 04 копеек расходов по уплате государственной пошлины. Арбитражный суд Северо-Западного округа постановлением от 21.01.2021 указанные судебные акты отменил в части требования о взыскании процентов за пользование чужими денежными средствами и распределения судебных расходов и направил дело в указанной части на новое рассмотрение в Арбитражный суд города Санкт-Петербурга и Ленинградской области. В остальной части оставил без изменения постановление суда апелляционной инстанции. Общество с ограниченной ответственностью «Шексна-Мастер» обратилось в Судебную коллегию по экономическим спорам Верховного Суда Российской Федерации с кассационной жалобой на постановление окружного суда, оставившего без изменения постановление суда апелляционной инстанции, в части вывода о сроке исковой давности,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установив, что договор расторгнут 03.12.2018, а с иском в суд предприниматель обратился 20.05.2019, руководствуясь положениями статей 199, 200, 715, 450.2, 1102 Гражданского кодекса Российской Федерации, суд апелляционной инстанции признал срок исковой давности не пропущенным. Проверив в порядке статей 286, 287 Арбитражного процессуального кодекса Российской Федерации законность судебного акта, правильность 3 применения норм материального и процессуального права при рассмотрении дела, окружной суд пришел к выводу о правильности и соответствии нормам права вывода суда апелляционной инстанции о том, что срок исковой давности не пропущен. Доводы жалобы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«Шексна-Мастер»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