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«АМ-Инвест» обратилось в Арбитражный суд Нижегородской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Пряниковой Юлии Юрьевны 120 600 рублей расходов на устранение недостатков товара и 19 229 рублей 84 копеек процентов за пользование чужими денежными средствами. Судом принят встречный иск ИП Пряниковой Ю.Ю. о взыскании с ООО «АМ-Инвест» 128 960 рублей задолженности по договору поставки оборудования от 20.01.2018 № 01/2018. К участию в деле в качестве третьего лица, не заявляющего самостоятельных требований относительного предмета спора, привлечено общество с ограниченной ответственностью «Рекорд». Решением Арбитражного суда Нижегородской области от 18.03.2020 первоначальный иск удовлетворен в части взыскания 120 600 рублей расходов на устранение недостатков и 12 888 рублей 13 копеек процентов за пользование 2 чужими денежными средствами, в удовлетворении первоначального иска в остальной части отказано; встречный иск удовлетворен; распределены судебные расходы. В результате зачета с ООО «АМ-Инвест» в пользу ИП Пряниковой Ю.Ю. взыскано 25 456 рублей 16 копеек расходов на проведение экспертизы. Постановлением Первого арбитражного апелляционного суда от 07.07.2020 решение суда первой инстанции оставлено без изменения. Арбитражный суд Волго-Вятского округа постановлением от 24.12.2020 указанные судебные акты оставил без изменения. Индивидуальный предприниматель Пряникова Юлия Юрьевна обратилась в Судебную коллегию Верховного Суда Российской Федерации с кассационной жалобой на принятые по делу судебные акты в части удовлетворения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поставленное предпринимателем оборудование имеет дефекты модулей, вмонтирование которых осуществлялось предпринимателем (исполнителем) при изготовлении оборудования, предприниматель является лицом, ответственным за проведение надлежащего монтажа поставленного им оборудования, отсутствуют доказательства возникновения недостатков не по вине предпринимателя, руководствуясь положениями статей 309, 310, 476, 486, 702, 723, 755 Гражданского кодекса Российской Федерации, суды пришли к выводу о наличии оснований для взыскания расходов на устранение выявленных недостатков с процентами. 3 Доводы жалобы относительно правовой квалификации заключенного сторонами договора приводились при рассмотрении дела, были рассмотрены судами и им дана надлежащая оценка, эти доводы выводы судов, с учетом установленных фактических обстоятельств дела, не опровергают.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Пряниковой Юлии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