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16.06.2020, оставленным без изменения постановлениями Девятнадцатого арбитражного апелляционного суда от 02.10.2020 и Арбитражного суда Центрального округа от 15.02.2021, в удовлетворении иска отказано. 2 В кассационной жалобе общество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управлением (заказчик) и обществом (поставщик) заключен контракт от 25.04.2019 № Ф.2019.195494 на поставку картриджей, запасных частей в количестве и ассортименте, указанном в спецификации поставляемых товаров. Основанием для обращения в суд послужили отказ управления от подписания акта приемки-передачи товара, а также односторонний отказ заказчика от исполнения контракта. Исследовав и оценив представленные в материалы дела доказательства, суды, руководствуясь положениями статей 309, 310, 450, 450.1, 456, 469, 506, 523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об отсутствии оснований для удовлетворения исковых требований. Судебные инстанции исходили из обоснованности отказа заказчика от исполнения контракта. При исследовании обстоятельств дела установлено, что спорный товар, поставленный обществом в адрес управления, не соответствует условиям контракта, выявленные нарушения поставщиком не устранены. Доводы кассационной жалобы являлись предметом рассмотрения судов, получили надлежащую правовую оценку с учетом установленных обстоятельств дела и мотивированно отклонены. Приведенные доводы не свидетельствуют о неправильном применении судами норм материального и процессуального права, повлиявшем на исход 3 дела или допущенной судебной ошибке, в связи с чем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«Принт Лайн 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