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21.07.2020, оставленным без изменения постановлением Восемнадцатого арбитражного апелляционного суда от 18.09.2020 и постановлением Арбитражного суда Уральского округа от 18.12.2020, иск удовлетворен. В кассационной жалобе компания просит об отмене судебных актов, ссылаясь на непринятие довода о явной несоразмерности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«СИЗОН»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