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08.11.2019, оставленным без изменения постановлением Четвертого арбитражного апелляционного суда от 26.10.2020, исковые требования о взыскании 464 425 рублей 13 копеек задолженности и 50 395 рублей 29 копеек пеней оставлены без рассмотрения; с ответчика взыскано 9 813 862 рубля 27 копеек задолженности и 1 187 894 рубля 97 копеек пеней за период с 15.11.2018 по 31.10.2019. Постановлением Арбитражного суда Восточно-Сибирского округа от 29.01.2021 решение и постановление апелляционного суда в части оставления исковых требований без рассмотрения оставлены без изменения, в остальной части судебные акты отменены с направлением дела на новое рассмотрение. В кассационной жалобе общество «РеасонПрогресс» просит отменить постановление окружного суда, ссылаясь на нарушение в распределении бремени доказывания.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судов первой и апелляционной инстанций об оказании части заявленных к оплате услуг статьям 779, 781 Гражданского кодекса Российской Федерации, для устранения которого направил дело на новое рассмотрение в пределах полномочий, предусмотренных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«РеасонПрогресс»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