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23.03.2020, оставленным без изменения постановлением Девятого арбитражного апелляционного суда от 16.09.2020, иск удовлетворен. Арбитражный суд Московского округа постановлением от 21.12.2020 решение от 23.03.2020 и постановление Девятого арбитражного апелляционного суда от 16.09.2020 оставил без изменения. В кассационной жалобе компания просит об отмене судебных актов, ссылаясь на рассмотрение дела с нарушением подведомственности.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основанное на договоре право кредитора (банка) на предъявление иска в российский арбитражный суд. Судами также установлены другие критерии преимущества кредитора на выбор суда, основанные на исполнении кредитного договора за счет находящихся в Российской Федерации денежных средств и обеспечивающего исполнения имущества.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DIMORESA COMMERCIAL LТD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