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15.06.2020, оставленным без изменения постановлением Девятого арбитражного апелляционного суда от 24.09.2020, в удовлетворении иска отказано. Арбитражный суд Московского округа постановлением от 21.12.2020 решение от 15.06.2020 и постановление Девятого арбитражного апелляционного суда от 24.09.2020 оставил без изменения. В кассационной жалобе общество просит об отмене судебных актов как противоречащих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общества сводятся к обоснованию злоупотребления учреждения в связи с исполнением договора поставки, от которых не зависит обязательство по гарантии (статья 370 Гражданского кодекса Российской Федерации), на что правильно указали суды и что соответствует судебной практике.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«Экотранссервис»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