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28.05.2018 исковые требования удовлетворены. Заявитель на основании пункта 24 постановления Пленума Высшего Арбитражного Суда Российской Федерации от 22.06.2012 № 35 «О некоторых вопросах, связанных с рассмотрением дел о банкротстве» обратился в Девятый арбитражный апелляционный суд с апелляционной жалобой на решение от 28.05.2018. Определением Девятого арбитражного апелляционного суда от 18.11.2020 апелляционная жалоба оставлена без удовлетворения. Постановлением Арбитражного суда Московского округа от 11.02.2021 определение апелляционного суда от 18.11.2020 оставлено без изменения; производство по кассационной жалобе заявителя в части обжалования решения от 28.05.2018 прекращено. 2 В кассационной жалобе общество «Техметод» просит отменить решение и постановление окружного суда, ссылаясь на неисследование обстоятельств совершения сделки и процессуальные нарушения.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связи с доводами заявителя апелляционный суд исследовал обстоятельства заключения кредитного договора, установил его реальное исполнение, исключающее мнимость. Кассационная жалоба подавалась одновременно на решение и определение апелляционной инстанции, поэтому окружной суд вправе был принять решение по каждому из требований (часть 2 статьи 167Арбитражного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«Техметод»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