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01.09.2020, оставленным без изменения постановлением Первого арбитражного апелляционного суда от 26.10.2020 и постановлением Арбитражного суда Волго-Вятского округа от 05.02.2021, назначена экспертиза, производство по делу приостановлено до получения заключения эксперта. В кассационной жалобе общество просит отменить судебные акты, ссылаясь на необоснование необходимости назначения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Экспертиза назначена по ходатайству ответчика в целях обоснования возражений в отношении иска, влияющих на результат его рассмотрения. Требуемый пересмотр компетенции суда на назначение экспертизы и приостановление в связи с ним производства по делу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«Стелла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