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28.05.2020, оставленным без изменения постановлениями Седьмого арбитражного апелляционного суда от 08.09.2020 и Арбитражного суда Западно-Сибирского округа от 29.12.2020,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итогам электронного аукциона обществу как единственному участнику направлен проект контракта на поставку источников бесперебойного питания с указанием цены товара, предложенной обществом в ходе торгов. Не согласившись с указанной ценой, общество в адрес фонда направило протокол разногласий, в котором со ссылкой на положения пункта 25.1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предложило заключить контракт по цене, равной начальной (максимальной) цене контракта. Контракт подписан сторонами с указанием цены товара, предложенной фондом и исполнен на соответствующих условиях. Полагая, что контракт подлежал заключению с указанием начальной (максимальной) цены товара, в связи с чем на стороне фонда возникло неосновательное обогащение в виде разницы между ценой контракта, предложенной участником аукциона, и начальной (максимальной) ценой контракта, общество обратилось в арбитражный суд. Оценив представленные в материалы дела доказательства, суды, руководствуясь положениями статей 1, 2, 11, 12, 1102, 1109 Гражданского кодекса Российской Федерации, части 4 статьи 24, части 18 статьи 34, статьи 68, части 13 статьи 69, части 10 статьи 70, пункта 25 части 1 статьи 93 Закона о контрактной системе, пришли к выводу об отсутствии оснований для удовлетворения искового требования. При этом судебные инстанции исходили из того, что признание электронного аукциона несостоявшимся по причине допуска к участию в нем только одного лица, законом не отнесено к числу оснований для заключения контракта по начальной (максимальной) цене. Доводы заявителя, изложенные в кассационной жалобе, основаны на 3 неверном толковании норм материального права, не подтверждают существенных нарушений норм материального права и норм процессуального права, повлиявших на исход дела,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«Сет-Сервис»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