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«Уралэлектротяжмаш»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«Техснабкомплект» 2 807 558 рублей 23 копеек убытков, связанных с просрочкой поставки товара. К участию в деле в качестве третьих лиц, не заявляющих самостоятельных требований относительно предмета спора, привлечены акционерное общество «Уралгидромаш», акционерное общество «Транснефть-Терминал», НП ЗАО «Электромаш». Решением Арбитражного суда Свердловской области от 07.08.2020 иск удовлетворен. Постановлением Семнадцатого арбитражного апелляционного суда от 15.10.2020 решение суда первой инстанции оставлено без изменения. Арбитражный суд Уральского округа постановлением от 24.12.2020 указанные судебные акты оставил без изменения. 2 Общество с ограниченной ответственностью «Техснабкомплект»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по делу № А50-21811/2018, установив, что нарушение ответчиком срока поставки товара повлекло за собой нарушение обязательств истца перед покупателем (обществом «Уралгидромаш») и, соответственно, нарушение срока изготовления и поставки обществом «Уралгидромаш» изделия (в состав которого входит поставленный ответчиком товар) получателю – обществу «Транснефть-Терминал», учитывая произведенную истцом компенсацию понесенных убытков контрагенту, руководствуясь статьями 15, 393 Гражданского кодекса Российской Федерации, суды пришли к выводу об обоснованности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разрешении ходатайства о передаче дела по подсудности, 3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«Техснабкомплект»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