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06.08.2020, оставленным без изменения постановлением Одиннадцатого арбитражного апелляционного суда от 20.10.2020 и постановлением Арбитражного суда Поволжского округа от 18.01.2021, с общества в пользу компании взыскано 3 816 809 руб. 30 коп. долга, в удовлетворении остальной части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Республики Татарстан.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учитывая обстоятельства, установленные вступившим в законную силу решением Арбитражного суда Республики Татарстан от 20.02.2020 № А65-24966/2019, суды первой и апелляционной инстанций установили, что работы на заявленную в иске сумму выполнены компанией (субподрядчик), переданы обществу (подрядчик) по акту приемки выполненных работ, который последнее не подписало, о наличии недостатков работ не заявило, доказательств выполнения работ иным лицом не представило. Принимая во внимание отсутствие доказательств оплаты выполненных работ, руководствуясь статьями 309, 310, 702, 711, 720, 753, 760 Гражданского кодекса Российской Федерации, суды частично удовлетворили иск, исключив из суммы задолженности сумму гарантийного удержания, поскольку основания для его возврата не наступили. Суд округа согласился с выводами судов первой и апелляционной инстанций. Доводы кассационной жалобы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«Спецэнергомонтаж»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