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Булавинова Александра Юрьевна (далее - Булавинова А.Ю.) обратилась в Арбитражный суд Саратовской области с исковым заявлением к Калюжной Э.Е. о понуждении устранить препятствия в пользовании помещениями общего пользования, расположенными по адресу: г. Саратов, ул. Лесная, д. 1, путем освобождения прохода в нежилом здании через его центральный вход со стороны фасадной части с улицы 2-й Совхозный проезд города Саратова по лестнице с первого на второй этажи и передачи ключей от входных дверей на первом и втором этажах, ведущих на лестничный марш. Решением Арбитражного суда Саратовской области от 16.06.2020, оставленным без изменения постановлением Двенадцатого арбитражного апелляционного суда от 14.08.2020 и постановлением Арбитражного суда Поволжского округа от 24.12.2020, исковые требования удовлетворены. Булавинова А.Ю. обратилась в Арбитражный суд Саратовской области с заявлением о взыскании с Калюжной Э.Е. 50 000 руб. судебных расходов на оплату услуг представителя. Арбитражным судом Саратовской области 14.09.2020 объявлена резолютивная часть определения о взыскании с Калюжной Э.Е. в пользу Булавиновой А.Ю. 30 000 руб. судебных расходов на оплату услуг 2 представителя, а 18.09.2020 – названное определение изготовлено в полном объеме. Определением Арбитражного суда Саратовской области от 15.09.2020, оставленным без изменения постановлением Двенадцатого арбитражного апелляционного суда от 05.11.2020 и постановлением Арбитражного суда Поволжского округа от 26.01.2021, исправлена допущенная в резолютивной части определения Арбитражного суда Саратовской области от 14.09.2020 опечатка, а именно в заголовке вместо «определение» указано «определение (резолютивная часть)». В кассационной жалобе, поданной в Верховный Суд Российской Федерации, Калюжная Э.Е. просит отменить судебные акты об исправлении опечатки,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Исправляя допущенную в резолютивной части определения опечатку, суд первой инстанции руководствовался статьей 179 Арбитражного процессуального кодекса Российской Федерации и исходил из того, что данная опечатка носит технический характер и ее исправление не изменяет содержание судебного акта. С этим согласились суды апелляционной инстанции и округа. Доводы кассационной жалобы не опровергают выводы судов,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Калюжной Эльвиры Евгеньевны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