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16.06.2020, оставленным без изменения постановлением Двенадцатого арбитражного апелляционного суда от 14.08.2020 и постановлением Арбитражного суда Поволжского округа от 24.12.2020, заявленные требования удовлетворены. В кассационной жалобе, поданной в Верховный Суд Российской Федерации, ФИО1, ссылаясь на нарушение судами норм материального и процессуального права, несоответствие их выводов фактическим обстоятельствам дела, просит отменить указанные судебные акты и принять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в нежилом здании, расположенном по адресу: &lt;...&gt;, ФИО2 на праве собственности принадлежит нежилое помещение площадью 50,2 кв. м с кадастровым номером 64:48:020409:2149, а ФИО1 - нежилые помещения общей площадью 40,9 кв. м с кадастровым номером 64:48:020409:2178, о чем в Едином государственном реестре недвижимости сделаны соответствующие записи. Указанное здание имеет два входа с лестничными маршами со стороны улицы Лесной и со стороны 2-го Совхозного проезда. ФИО2, ссылаясь на то, что ФИО1 препятствует в пользовании общим имуществом, закрывает двери на первом и втором этажах, ключ от которых имеется только у нее, обратилась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проход в спорном здании через его центральный вход со стороны фасадной части с улицы 2-й Совхозный проезд по лестнице с первого на второй этажи является общим имуществом, принадлежащим на праве собственности всем собственникам помещений в указанном здании; ФИО1 препятствует истцу в пользовании названным имуществом, руководствуясь статьями 8 , 12 , 209 , 304 Гражданского кодекса Российской Федерации, разъяснениями, изложенными в пунктах 45, 47, 49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первой и апелляционной инстанций пришли к выводу о наличии оснований для удовлетворения заявленных требований. Суд округа признал выводы судов первой и апелляционной инстанций законными и обоснованными.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ИП Калюжная Э.Е. (подробнее) Иные лица: Арбитражный суд Поволжского округа (подробнее) Арбитражный суд Саратовской области (подробнее) ГУП "Саратовское областное бюро технической инвентаризации и оценки недвижимости" (подробнее) ОАСР УМВД России по Саратовской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