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03.07.2020, оставленным без изменения постановлением Десятого арбитражного апелляционного суда от 06.10.2020 и постановлением Арбитражного суда Московского округа от 24.12.2020, исковые требования удовлетворены. В кассационной жалобе, поданной в Верховный Суд Российской Федерации, товарищество, ссылаясь на нарушение судами норм права,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услуг по обращению с твердыми коммунальными отходами в спорный период и отсутствие доказательств их оплаты товариществом, руководствуясь статьями 330, 779, 781, 783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 заявителя о необоснованном отказе суда апелляционной инстанции в приобщении к материалам дела дополнительных доказательств подлежит отклонению, поскольку такие доказательства предоставляются с соблюдением требований, установленных частью 2 статьи 268 Арбитражного процессуального кодекса Российской Федерации. Иные доводы кассационной жалобы не опровергают выводы судов, направлены на переоценку фактических обстоятельств дела и не подтверждают существенных нарушений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«ТСЖ Кутузовская 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