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01.06.2020, оставленным без изменения постановлением Тринадцатого арбитражного апелляционного суда от 09.09.2020 и постановлением Арбитражного суда Северо-Западного округа от 21.12.2020, с общества в пользу управления взыскано 985 737 руб. 31 коп. неосновательного обогащения, 46 275 руб. 64 коп. процентов за пользование чужими денежными средствами, проценты за пользование чужими денежными 2 средствами, начисленные в порядке, установленном пунктом 1 статьи 395 Гражданского кодекса Российской Федерации, начиная с 17.12.2019 до момента фактического исполнения обязательства по оплате неосновательного обогащения, 30 000 руб. в возмещение судебных расходов по оплате услуг представителя и 23 320 руб. в возмещение расходов по оплате государственной пошлины. В удовлетворении остальной части заявления о взыскании судебных расходов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города Санкт-Петербурга и Ленинградской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общество (субподрядчик) выполнило по спорному договору лишь часть работ и с недостатками, от устранения которых уклонилось, суды первой и апелляционной инстанций пришли к выводу о наличии у управления (подрядчик) права на соразмерное уменьшение установленной за работу цены. Исходя из подтвержденности факта перечисления управлением в пользу общества авансовых платежей, прекращения договора ввиду одностороннего отказа управления от его исполнения, учитывая отсутствие доказательств выполнения обществом работ на спорную сумму либо ее возврата управлению, руководствуясь статьями 309, 310, 395, 450.1, 711, 715, 717, 721, 723, 740, 746, 1102 Гражданского кодекса Российской Федерации, суды взыскали с общества неосновательное обогащение и проценты за пользование чужими денежными средствами. Суд округа согласился с выводами судов первой и апелляционной инстанций. Доводы кассационной жалобы были предметом рассмотрения судов и получили правовую оценку, не опровергают выводы судов и не подтверждают существенных нарушений судами норм материального и процессуального права, повлиявших на исход дела. 3 Руководствуясь статьей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«Веста»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