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22.05.2020 в удовлетворении исковых требований отказано. Постановлением Девятого арбитражного апелляционного суда от 21.09.2020 решение суда первой инстанции отменено, с общества в пользу компании взыскано 1 500 000 руб. задолженности и 503 250 руб. неустойки, в удовлетворении остальной части требований отказано. Постановлением Арбитражного суда Московского округа от 17.12.2020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Повторно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314, 330, 333, 421, 431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установив, что субсидия обществу (лизингополучатель) не предоставлена, что в соответствии с условиями договора лизинга влечет обязанность лизингополучателя уплатить компании (лизингодатель) разницу между суммами аванса без скидки и со скидкой, суд апелляционной инстанции пришел к выводу о наличии оснований для частичного удовлетворения исковых требований (с учетом снижения размера неустойки), с чем впоследствии согласился суд округа. Доводы кассационной жалобы не опровергают приведенные выводы судов, не подтверждают существенных нарушений судами норм материального и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«ЮграТрансАвто»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