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«Главное управление обустройства войск» обратилось в Арбитражный суд города Москвы с иском, уточненным в порядке статьи 49 Арбитражного процессуального кодекса Российской Федерации, к обществу с ограниченной ответственностью «Торгтехоборудование» об обязании произвести замену электропарогенераторной установки «Гейзер- 120Т-ПК» (щит питания и управления ЩПУ-Т120ПК с заводским № 120.031) на базе ТЭП-60/160И1 заводские номера 1530, 1531 и взыскании 836 838 рублей штрафа по договору от 07.05.2018 № 1113187376452090942000000/2018/2-2063. Решением Арбитражного суда города Москвы от 22.07.2020 иск удовлетворен. Постановлением Девятого арбитражного апелляционного суда от 02.10.2020 решение суда первой инстанции оставлено без изменения. Арбитражный суд Московского округа постановлением от 24.12.2020 указанные судебные акты оставил без изменения. 2 Общество с ограниченной ответственностью «Торгтехоборудование»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истец (покупатель) в течение гарантийного срока неоднократно направлял в адрес ответчика (поставщика) письма о неисправности оборудования и устранении выявленных недостатков, отсутствие доказательств, подтверждающих возникновение неисправности оборудования вследствие нарушения истцом правил его эксплуатации, руководствуясь положениями статей 309, 470, 475, 476, 477 Гражданского кодекса Российской Федерации, суды пришли к выводу о доказанности факта передачи истцу товара ненадлежащего качества и обоснованности требования покупателя о замене товара и уплате штрафа.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«Торгтехоборудование»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