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причины, которые объективно препятствовали участнику процесса своевременно подать жалобу. Таким образом, восстановлению подлежит срок, пропущенный по уважительным причинам, не зависящим от заявителя, который не имел возможности совершить процессуальное действие в установленный законом срок.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АПК РФ). Последним из обжалуемых заявителем судебных актов, принятым по существу спора, является постановление Арбитражного суда Уральского округа, принятое и вступившее в законную силу 09.10.2020. Обращаясь в Верховный суд Российской Федерации с кассационной жалобой, заявитель ходатайствует о восстановлении пропущенного процессуального срока, ссылаясь на отсутствие в его штате юриста и нахождение руководителя общества на лечении в период с 02.12.2020 по апрель 2021 года. Между тем согласно разъяснениям, приведенным в абзаце 5 пункта 34 постановления Пленума Высшего Арбитражного Суда Российской Федерации от 25.12.2013 № 99 «О процессуальных сроках», не могут рассматриваться в качестве уважительных причин необходимость согласования с вышестоящим органом (иным лицом) вопроса о подаче апелляционной (кассационной) жалобы, нахождение представителя заявителя в командировке (отпуске), кадровые перестановки, отсутствие в штате организации юриста, смена руководителя (его нахождение в длительной командировке, отпуске), а также иные внутренние организационные проблемы юридического лица, обратившегося с апелляционной (кассационной) жалобой. Таким образом, приведенные обществом доводы не подтверждают наличие объективных причин, препятствовавших подаче в установленный законом срок кассационной жалобы, и не являются основанием для восстановления пропущенного срока. Кроме того, следует отметить, что представленные заявителем документы (результаты лабораторных исследований от 02.12.2020) не подтверждают нетрудоспособность руководителя. 3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Учитывая изложенное, ходатайство о восстановлении пропущенного процессуального срока подлежит оставлению без удовлетворения, а кассационная жалоба - возврату заявителю. Уплаченная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117, 184,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«СтройСвязьМонтаж» о восстановлении пропущенного срока подачи кассационной жалобы отказать. Кассационную жалобу общества с ограниченной ответственностью «СтройСвязьМонтаж» на решение Арбитражного суда Челябинской области от 12.12.2019 и постановление Арбитражного суда Уральского округа от 09.10.2020 по делу № А76-21562/2019 возвратить заявителю. Возвратить обществу с ограниченной ответственностью «СтройСвязьМонтаж» государственную пошлину в размере 3000 рублей, уплаченную по чеку-ордеру от 02.04.2021 (операция № 8). Выдать справку на возврат государственной 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