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«ПУЛЬС Воронеж» обратилось в Арбитражный суд Воронежской области с иском о взыскании с общества с ограниченной ответственностью «Белмедсервис» 2 350 849 рублей 28 копеек задолженности за переданный и нереализованный товар по договору субкомиссии от 20.04.2018 № 376/К и 100 000 рублей штрафа за несвоевременный возврат нереализованного товара. Решением Арбитражного суда Воронежской области от 22.06.2020 иск удовлетворен. Постановлением Девятнадцатого арбитражного апелляционного суда от 15.10.2020 решение суда первой инстанции оставлено без изменения. Арбитражный суд Центрального округа постановлением от 24.12.2020 указанные судебные акты оставил без изменения. Общество с ограниченной ответственностью «Белмедсервис»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установленную договором обязанность ответчика по представлению ежемесячного отчета комиссионера, отсутствие доказательств исполнения ответчиком (комиссионером) требований истца (комитента) о возврате нереализованного товара в установленный договором срок, руководствуясь положениями статей 309, 310, 329, 330, 990, 998, 999 Гражданского кодекса Российской Федерации, суды пришли к выводу об обоснованности заявленных требований. Доводы, изложенные в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«Белмедсервис»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