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«Техинжойл»» обратилось в Арбитражный суд Московской области с иском о взыскании с общества с ограниченной ответственностью «Химмаш-Аппарат» 1 613 316 рублей 61 копейки штрафа, 822 791 рубля 47 копеек пени и 806 658 рублей 31 копейки неустойки по договору поставки от 25.04.2018 № 5/ТИО. Решением Арбитражного суда Московской области от 27.07.2020 иск удовлетворен в части взыскания 300 000 рублей штрафа, 50 000 рублей пени и 200 000 рублей неустойки; в удовлетворении иска в остальной части отказано. Постановлением Десятого арбитражного апелляционного суда от 24.09.2020 решение суда первой инстанции изменено в части взыскания пени за нарушение срока поставки и с ответчика взыскано 349 404 рубля 60 копеек; в остальной части решение суда первой инстанции оставлено без изменения. Арбитражный суд Московского округа постановлением от 28.12.2020 указанные судебные акты оставил без изменения. 2 Акционерное общество «Техинжойл»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ненадлежащее исполнение ответчиком обязательств по договору поставки, руководствуясь положениями статей 309, 310, 330, 454, 506 Гражданского кодекса Российской Федерации, суд первой инстанции пришел к выводу о наличии оснований для удовлетворения иска. При этом, рассмотрев ходатайство ответчика о снижении размера неустойки на основании статьи 333 Гражданского кодекса Российской Федерации, учитывая разъяснения, изложенные в пунктах 73, 75, 77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компенсационную природу неустойки, соблюдение баланса между применяемой мерой ответственности и последствиями ненадлежащего исполнения обязательства, во избежание превращения института неустойки в способ обогащения кредитора, суд первой инстанции установил наличие оснований для уменьшения размера неустойки, пени, штрафа. Изменяя решение суда первой инстанции в части размера подлежащих взысканию пени, суд апелляционной инстанции, указав на недоказанность наличия исключительных обстоятельств для снижения размера санкции до однократной утвержденной Банком России ключевой ставки, определил сумму подлежащих взысканию пени исходя из двукратного размера ключевой ставки. Проверив в порядке статей 286, 287 Арбитражного процессуального кодекса Российской Федерации законность судебных актов, правильность 3 применения норм материального и процессуального права при рассмотрении дела, окружной суд пришел к выводу о соответствии выводов, содержащихся в судебных актах, установленным фактическим обстоятельствам и имеющимся в деле доказательствам. Доводы жалобы о необоснованном уменьшении неустойки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«Техинжойл»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